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3"/>
        <w:gridCol w:w="4518"/>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bookmarkStart w:id="0" w:name="_GoBack"/>
        <w:bookmarkEnd w:id="0"/>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996260" w:rsidP="0024081E">
            <w:pPr>
              <w:rPr>
                <w:rFonts w:ascii="Arial" w:hAnsi="Arial" w:cs="Arial"/>
                <w:b/>
                <w:sz w:val="24"/>
                <w:szCs w:val="24"/>
              </w:rPr>
            </w:pPr>
            <w:r w:rsidRPr="00981986">
              <w:rPr>
                <w:rFonts w:ascii="Arial" w:hAnsi="Arial" w:cs="Arial"/>
                <w:b/>
                <w:sz w:val="24"/>
                <w:szCs w:val="24"/>
              </w:rPr>
              <w:t>Finance &amp; Administrative Officer</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996260" w:rsidP="0024081E">
            <w:pPr>
              <w:rPr>
                <w:rFonts w:ascii="Arial" w:hAnsi="Arial" w:cs="Arial"/>
                <w:sz w:val="24"/>
                <w:szCs w:val="24"/>
              </w:rPr>
            </w:pPr>
            <w:r>
              <w:rPr>
                <w:rFonts w:ascii="Arial" w:hAnsi="Arial" w:cs="Arial"/>
                <w:sz w:val="24"/>
                <w:szCs w:val="24"/>
              </w:rPr>
              <w:t>SCH005</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lastRenderedPageBreak/>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81986"/>
    <w:rsid w:val="00996260"/>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Sarah Brewis</cp:lastModifiedBy>
  <cp:revision>4</cp:revision>
  <dcterms:created xsi:type="dcterms:W3CDTF">2015-09-14T09:55:00Z</dcterms:created>
  <dcterms:modified xsi:type="dcterms:W3CDTF">2015-09-14T12:52:00Z</dcterms:modified>
</cp:coreProperties>
</file>